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33F" w:rsidRPr="004C264E" w:rsidRDefault="00B0385E" w:rsidP="00AE2724">
      <w:pPr>
        <w:jc w:val="both"/>
        <w:rPr>
          <w:rFonts w:cs="Tahoma"/>
        </w:rPr>
      </w:pPr>
      <w:bookmarkStart w:id="0" w:name="_GoBack"/>
      <w:bookmarkEnd w:id="0"/>
      <w:r w:rsidRPr="004C264E">
        <w:rPr>
          <w:rFonts w:cs="Tahoma"/>
          <w:noProof/>
        </w:rPr>
        <w:drawing>
          <wp:anchor distT="0" distB="0" distL="114300" distR="114300" simplePos="0" relativeHeight="251659264" behindDoc="0" locked="0" layoutInCell="1" allowOverlap="1" wp14:anchorId="3AB3301E" wp14:editId="0749B15D">
            <wp:simplePos x="0" y="0"/>
            <wp:positionH relativeFrom="column">
              <wp:posOffset>4381500</wp:posOffset>
            </wp:positionH>
            <wp:positionV relativeFrom="paragraph">
              <wp:posOffset>10160</wp:posOffset>
            </wp:positionV>
            <wp:extent cx="2025992" cy="711835"/>
            <wp:effectExtent l="0" t="0" r="0" b="0"/>
            <wp:wrapNone/>
            <wp:docPr id="2" name="Slika 2" descr="C:\Users\Primož\AppData\Local\Microsoft\Windows\INetCache\Content.Word\komen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imož\AppData\Local\Microsoft\Windows\INetCache\Content.Word\komentar.jpg"/>
                    <pic:cNvPicPr>
                      <a:picLocks noChangeAspect="1" noChangeArrowheads="1"/>
                    </pic:cNvPicPr>
                  </pic:nvPicPr>
                  <pic:blipFill>
                    <a:blip r:embed="rId8">
                      <a:extLst>
                        <a:ext uri="{BEBA8EAE-BF5A-486C-A8C5-ECC9F3942E4B}">
                          <a14:imgProps xmlns:a14="http://schemas.microsoft.com/office/drawing/2010/main">
                            <a14:imgLayer r:embed="rId9">
                              <a14:imgEffect>
                                <a14:saturation sat="2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25992" cy="711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3051" w:rsidRPr="004C264E">
        <w:rPr>
          <w:rFonts w:cs="Tahoma"/>
          <w:noProof/>
        </w:rPr>
        <w:drawing>
          <wp:inline distT="0" distB="0" distL="0" distR="0" wp14:anchorId="3125F4AF" wp14:editId="1828A462">
            <wp:extent cx="855876" cy="499892"/>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77257" cy="512380"/>
                    </a:xfrm>
                    <a:prstGeom prst="rect">
                      <a:avLst/>
                    </a:prstGeom>
                  </pic:spPr>
                </pic:pic>
              </a:graphicData>
            </a:graphic>
          </wp:inline>
        </w:drawing>
      </w:r>
    </w:p>
    <w:p w:rsidR="00A0633F" w:rsidRPr="004C264E" w:rsidRDefault="00A0633F" w:rsidP="00AE2724">
      <w:pPr>
        <w:jc w:val="both"/>
        <w:rPr>
          <w:rFonts w:cs="Tahoma"/>
        </w:rPr>
      </w:pPr>
    </w:p>
    <w:p w:rsidR="001722D4" w:rsidRPr="004C264E" w:rsidRDefault="00DB7E07" w:rsidP="00BB3DF2">
      <w:pPr>
        <w:rPr>
          <w:rFonts w:cs="Tahoma"/>
          <w:b/>
          <w:color w:val="5C141F"/>
          <w:sz w:val="36"/>
          <w:szCs w:val="36"/>
        </w:rPr>
      </w:pPr>
      <w:r w:rsidRPr="004C264E">
        <w:rPr>
          <w:rFonts w:cs="Tahoma"/>
          <w:b/>
          <w:color w:val="5C141F"/>
          <w:sz w:val="36"/>
          <w:szCs w:val="36"/>
        </w:rPr>
        <w:t>Britanski</w:t>
      </w:r>
      <w:r w:rsidR="00CF5656">
        <w:rPr>
          <w:rFonts w:cs="Tahoma"/>
          <w:b/>
          <w:color w:val="5C141F"/>
          <w:sz w:val="36"/>
          <w:szCs w:val="36"/>
        </w:rPr>
        <w:t>m bankam se je zgodilo ljudstvo</w:t>
      </w:r>
    </w:p>
    <w:p w:rsidR="0037077C" w:rsidRPr="004C264E" w:rsidRDefault="00CF5656" w:rsidP="00AE2724">
      <w:pPr>
        <w:jc w:val="both"/>
        <w:rPr>
          <w:rFonts w:cs="Tahoma"/>
          <w:sz w:val="16"/>
          <w:szCs w:val="16"/>
        </w:rPr>
      </w:pPr>
      <w:r>
        <w:rPr>
          <w:rFonts w:cs="Tahoma"/>
          <w:sz w:val="16"/>
          <w:szCs w:val="16"/>
        </w:rPr>
        <w:t>24.6</w:t>
      </w:r>
      <w:r w:rsidR="00EE1002" w:rsidRPr="004C264E">
        <w:rPr>
          <w:rFonts w:cs="Tahoma"/>
          <w:sz w:val="16"/>
          <w:szCs w:val="16"/>
        </w:rPr>
        <w:t>.2016</w:t>
      </w:r>
    </w:p>
    <w:p w:rsidR="007A224F" w:rsidRPr="004C264E" w:rsidRDefault="00687BE6" w:rsidP="00AE2724">
      <w:pPr>
        <w:shd w:val="clear" w:color="auto" w:fill="F2DBDB" w:themeFill="accent2" w:themeFillTint="33"/>
        <w:jc w:val="both"/>
        <w:rPr>
          <w:rFonts w:cs="Tahoma"/>
          <w:b/>
          <w:i/>
          <w:color w:val="000000"/>
          <w:sz w:val="22"/>
        </w:rPr>
      </w:pPr>
      <w:r w:rsidRPr="00687BE6">
        <w:rPr>
          <w:rFonts w:cs="Tahoma"/>
          <w:b/>
          <w:i/>
        </w:rPr>
        <w:t>Slovenija bo utrpela udarec predvsem zaradi nekoliko manjše rasti povpraševanja na glavnih izvoznih trgih, saj naj bi se poslovni optimizem v Evropi zmanjšal</w:t>
      </w:r>
      <w:r>
        <w:rPr>
          <w:rFonts w:cs="Tahoma"/>
          <w:b/>
          <w:i/>
        </w:rPr>
        <w:t>.</w:t>
      </w:r>
      <w:r w:rsidRPr="00687BE6">
        <w:rPr>
          <w:rFonts w:cs="Tahoma"/>
          <w:b/>
          <w:i/>
        </w:rPr>
        <w:t xml:space="preserve"> </w:t>
      </w:r>
      <w:r>
        <w:rPr>
          <w:rFonts w:cs="Tahoma"/>
          <w:b/>
          <w:i/>
        </w:rPr>
        <w:t>T</w:t>
      </w:r>
      <w:r w:rsidRPr="00687BE6">
        <w:rPr>
          <w:rFonts w:cs="Tahoma"/>
          <w:b/>
          <w:i/>
        </w:rPr>
        <w:t xml:space="preserve">udi manjša kupna moč britanskih turistov naj bi znižala turistični izkupiček za okoli 20 mio </w:t>
      </w:r>
      <w:r>
        <w:rPr>
          <w:rFonts w:cs="Tahoma"/>
          <w:b/>
          <w:i/>
        </w:rPr>
        <w:t xml:space="preserve">evrov. </w:t>
      </w:r>
    </w:p>
    <w:p w:rsidR="007A224F" w:rsidRPr="004C264E" w:rsidRDefault="00CF5656" w:rsidP="00937EF2">
      <w:pPr>
        <w:jc w:val="both"/>
        <w:rPr>
          <w:rFonts w:cs="Tahoma"/>
          <w:b/>
          <w:sz w:val="22"/>
          <w:szCs w:val="22"/>
        </w:rPr>
      </w:pPr>
      <w:r>
        <w:rPr>
          <w:rFonts w:cs="Tahoma"/>
          <w:b/>
          <w:sz w:val="22"/>
          <w:szCs w:val="22"/>
        </w:rPr>
        <w:t xml:space="preserve">Britanci izbrali odhod, politiki </w:t>
      </w:r>
      <w:r w:rsidR="007E3DC6">
        <w:rPr>
          <w:rFonts w:cs="Tahoma"/>
          <w:b/>
          <w:sz w:val="22"/>
          <w:szCs w:val="22"/>
        </w:rPr>
        <w:t>kdaj in kako</w:t>
      </w:r>
    </w:p>
    <w:p w:rsidR="00CF5656" w:rsidRDefault="00CF5656" w:rsidP="009E3F9F">
      <w:pPr>
        <w:jc w:val="both"/>
        <w:rPr>
          <w:rFonts w:cs="Tahoma"/>
          <w:sz w:val="22"/>
          <w:szCs w:val="22"/>
        </w:rPr>
      </w:pPr>
      <w:r>
        <w:rPr>
          <w:rFonts w:cs="Tahoma"/>
          <w:sz w:val="22"/>
          <w:szCs w:val="22"/>
        </w:rPr>
        <w:t>Tesen izid referenduma je predvsem presenetil finančne trge, saj so finančni udeleženci in stavnice v precej večji meri ocenjevali, da se bodo Britanci odločili ostati v EU. Temu so pripisali kar 4-krat večjo verjetnost od odhoda. Aktualen izid: 52 proti 48 za odhod je tako pričakovano pretresel trge in imel sledeče vplive:</w:t>
      </w:r>
    </w:p>
    <w:p w:rsidR="00CF5656" w:rsidRDefault="00251990" w:rsidP="009E3F9F">
      <w:pPr>
        <w:jc w:val="both"/>
        <w:rPr>
          <w:rFonts w:cs="Tahoma"/>
          <w:sz w:val="22"/>
          <w:szCs w:val="22"/>
        </w:rPr>
      </w:pPr>
      <w:r>
        <w:rPr>
          <w:rFonts w:cs="Tahoma"/>
          <w:sz w:val="22"/>
          <w:szCs w:val="22"/>
        </w:rPr>
        <w:t xml:space="preserve">KOLAPS </w:t>
      </w:r>
      <w:r w:rsidR="00CF5656">
        <w:rPr>
          <w:rFonts w:cs="Tahoma"/>
          <w:sz w:val="22"/>
          <w:szCs w:val="22"/>
        </w:rPr>
        <w:t>FUNT</w:t>
      </w:r>
      <w:r>
        <w:rPr>
          <w:rFonts w:cs="Tahoma"/>
          <w:sz w:val="22"/>
          <w:szCs w:val="22"/>
        </w:rPr>
        <w:t>A</w:t>
      </w:r>
    </w:p>
    <w:p w:rsidR="00CF5656" w:rsidRDefault="00CF5656" w:rsidP="009E3F9F">
      <w:pPr>
        <w:jc w:val="both"/>
        <w:rPr>
          <w:rFonts w:cs="Tahoma"/>
          <w:sz w:val="22"/>
          <w:szCs w:val="22"/>
        </w:rPr>
      </w:pPr>
      <w:r>
        <w:rPr>
          <w:rFonts w:cs="Tahoma"/>
          <w:sz w:val="22"/>
          <w:szCs w:val="22"/>
        </w:rPr>
        <w:t xml:space="preserve">Funt je dan po referendumu izgubil 10 % svoje vrednosti proti dolarju ter padel na najnižjo vrednost v zadnjih 30-ih letih. </w:t>
      </w:r>
      <w:r w:rsidR="007E3DC6">
        <w:rPr>
          <w:rFonts w:cs="Tahoma"/>
          <w:sz w:val="22"/>
          <w:szCs w:val="22"/>
        </w:rPr>
        <w:t xml:space="preserve">Pričakujemo, da bo v nekaj dneh pridobil del vrednosti, saj je bil padec previsok. </w:t>
      </w:r>
    </w:p>
    <w:p w:rsidR="00CF5656" w:rsidRDefault="00251990" w:rsidP="009E3F9F">
      <w:pPr>
        <w:jc w:val="both"/>
        <w:rPr>
          <w:rFonts w:cs="Tahoma"/>
          <w:sz w:val="22"/>
          <w:szCs w:val="22"/>
        </w:rPr>
      </w:pPr>
      <w:r>
        <w:rPr>
          <w:rFonts w:cs="Tahoma"/>
          <w:sz w:val="22"/>
          <w:szCs w:val="22"/>
        </w:rPr>
        <w:t>PADEC DELNIC</w:t>
      </w:r>
    </w:p>
    <w:p w:rsidR="00CF5656" w:rsidRDefault="00CF5656" w:rsidP="009E3F9F">
      <w:pPr>
        <w:jc w:val="both"/>
        <w:rPr>
          <w:rFonts w:cs="Tahoma"/>
          <w:sz w:val="22"/>
          <w:szCs w:val="22"/>
        </w:rPr>
      </w:pPr>
      <w:r>
        <w:rPr>
          <w:rFonts w:cs="Tahoma"/>
          <w:sz w:val="22"/>
          <w:szCs w:val="22"/>
        </w:rPr>
        <w:t xml:space="preserve">Britanski indeks FTSE 100 je zgrmel za 8,5 %. </w:t>
      </w:r>
      <w:r w:rsidR="00251990">
        <w:rPr>
          <w:rFonts w:cs="Tahoma"/>
          <w:sz w:val="22"/>
          <w:szCs w:val="22"/>
        </w:rPr>
        <w:t>Tudi evropski delniški indeksi in svetovni naj b</w:t>
      </w:r>
      <w:r w:rsidR="007E3DC6">
        <w:rPr>
          <w:rFonts w:cs="Tahoma"/>
          <w:sz w:val="22"/>
          <w:szCs w:val="22"/>
        </w:rPr>
        <w:t>i</w:t>
      </w:r>
      <w:r w:rsidR="00251990">
        <w:rPr>
          <w:rFonts w:cs="Tahoma"/>
          <w:sz w:val="22"/>
          <w:szCs w:val="22"/>
        </w:rPr>
        <w:t xml:space="preserve"> močno izgubili na vrednosti, dokler ne bo jasno več, kako naprej. </w:t>
      </w:r>
    </w:p>
    <w:p w:rsidR="00CF5656" w:rsidRDefault="00CF5656" w:rsidP="009E3F9F">
      <w:pPr>
        <w:jc w:val="both"/>
        <w:rPr>
          <w:rFonts w:cs="Tahoma"/>
          <w:sz w:val="22"/>
          <w:szCs w:val="22"/>
        </w:rPr>
      </w:pPr>
      <w:r>
        <w:rPr>
          <w:rFonts w:cs="Tahoma"/>
          <w:sz w:val="22"/>
          <w:szCs w:val="22"/>
        </w:rPr>
        <w:t>STROŠKI ZADOLŽEVANJA PERIFERNE EVROPE</w:t>
      </w:r>
      <w:r w:rsidR="00251990">
        <w:rPr>
          <w:rFonts w:cs="Tahoma"/>
          <w:sz w:val="22"/>
          <w:szCs w:val="22"/>
        </w:rPr>
        <w:t xml:space="preserve"> NAVZGOR</w:t>
      </w:r>
    </w:p>
    <w:p w:rsidR="00251990" w:rsidRDefault="00251990" w:rsidP="009E3F9F">
      <w:pPr>
        <w:jc w:val="both"/>
        <w:rPr>
          <w:rFonts w:cs="Tahoma"/>
          <w:sz w:val="22"/>
          <w:szCs w:val="22"/>
        </w:rPr>
      </w:pPr>
      <w:r>
        <w:rPr>
          <w:rFonts w:cs="Tahoma"/>
          <w:sz w:val="22"/>
          <w:szCs w:val="22"/>
        </w:rPr>
        <w:t xml:space="preserve">Pričakovano so se finančni vlagatelji zatekli k varnim naložbam. Nemške 10-letne obveznice prinašajo vlagateljem -0,14 % letno, medtem ko se Italijani zadolžujejo za 0,3 odstotne točke dražje (1,5 %). </w:t>
      </w:r>
    </w:p>
    <w:p w:rsidR="00251990" w:rsidRDefault="00251990" w:rsidP="009E3F9F">
      <w:pPr>
        <w:jc w:val="both"/>
        <w:rPr>
          <w:rFonts w:cs="Tahoma"/>
          <w:sz w:val="22"/>
          <w:szCs w:val="22"/>
        </w:rPr>
      </w:pPr>
      <w:r>
        <w:rPr>
          <w:rFonts w:cs="Tahoma"/>
          <w:sz w:val="22"/>
          <w:szCs w:val="22"/>
        </w:rPr>
        <w:t>BRITANCI KMALU BREZ AAA</w:t>
      </w:r>
    </w:p>
    <w:p w:rsidR="00CF5656" w:rsidRDefault="00251990" w:rsidP="009E3F9F">
      <w:pPr>
        <w:jc w:val="both"/>
        <w:rPr>
          <w:rFonts w:cs="Tahoma"/>
          <w:sz w:val="22"/>
          <w:szCs w:val="22"/>
        </w:rPr>
      </w:pPr>
      <w:r>
        <w:rPr>
          <w:rFonts w:cs="Tahoma"/>
          <w:sz w:val="22"/>
          <w:szCs w:val="22"/>
        </w:rPr>
        <w:t xml:space="preserve">Bonitetna agencija S&amp;P je potrdila, da bo Velika Britanija izgubila najvišjo bonitetno oceno AAA. To sicer nujno ne pomeni višjih stroškov zadolževanja za državo, saj imajo Britanci svojo lastno centralno banko, ki vpliva na gibanje obrestnih mer. Ocenjuje se, da bi lahko Bank of England že avgusta znižala obrestno mero. </w:t>
      </w:r>
      <w:r w:rsidR="00D50FE3">
        <w:rPr>
          <w:rFonts w:cs="Tahoma"/>
          <w:sz w:val="22"/>
          <w:szCs w:val="22"/>
        </w:rPr>
        <w:t xml:space="preserve">Evropska centralna banka bi se lahko zatekla tudi k dodatnim ukrepov monetarne politike, s katerimi bi poskušali spodbuditi evrsko ekonomijo. </w:t>
      </w:r>
    </w:p>
    <w:p w:rsidR="00CF5656" w:rsidRPr="00C30D75" w:rsidRDefault="003A1BA4" w:rsidP="009E3F9F">
      <w:pPr>
        <w:jc w:val="both"/>
        <w:rPr>
          <w:rFonts w:cs="Tahoma"/>
          <w:b/>
          <w:sz w:val="22"/>
          <w:szCs w:val="22"/>
        </w:rPr>
      </w:pPr>
      <w:r>
        <w:rPr>
          <w:rFonts w:cs="Tahoma"/>
          <w:b/>
          <w:sz w:val="22"/>
          <w:szCs w:val="22"/>
        </w:rPr>
        <w:t>BDP nižji za 0,2 do 0,3 %</w:t>
      </w:r>
    </w:p>
    <w:p w:rsidR="00251990" w:rsidRDefault="00251990" w:rsidP="009E3F9F">
      <w:pPr>
        <w:jc w:val="both"/>
        <w:rPr>
          <w:rFonts w:cs="Tahoma"/>
          <w:sz w:val="22"/>
          <w:szCs w:val="22"/>
        </w:rPr>
      </w:pPr>
      <w:r>
        <w:rPr>
          <w:rFonts w:cs="Tahoma"/>
          <w:sz w:val="22"/>
          <w:szCs w:val="22"/>
        </w:rPr>
        <w:t>Finančni trgi naj bi bili zgolj barometer dogajanja v realnem gospodarstvu. Odražali naj bi prihodnjo profitabilnost podjetij, ki je odvisna tako od sentimenta podjetniškega sektorja kot dejanskih zaslužkov. Trenutno odražajo strah pred posledicami tega referenduma na porast evroskepticizma v vsej Evropi</w:t>
      </w:r>
      <w:r w:rsidR="005C2506">
        <w:rPr>
          <w:rFonts w:cs="Tahoma"/>
          <w:sz w:val="22"/>
          <w:szCs w:val="22"/>
        </w:rPr>
        <w:t xml:space="preserve"> ter uvedbo ukrepov, ki bi omejili prost pretok blaga, kapitala in delovne sile med EU in Veliko Britanijo. Ocenjujemo, da bo vpliv odločitve britanskega ljudstva zelo odvisna od komunikacije britanskih in evropskih politikov. V kolikor bo ta jasna in ukrepi predvidljivi, bodo vpliva na realno gospodarstvo minimalni</w:t>
      </w:r>
      <w:r w:rsidR="003A1BA4">
        <w:rPr>
          <w:rFonts w:cs="Tahoma"/>
          <w:sz w:val="22"/>
          <w:szCs w:val="22"/>
        </w:rPr>
        <w:t xml:space="preserve"> oziroma začasni</w:t>
      </w:r>
      <w:r w:rsidR="005C2506">
        <w:rPr>
          <w:rFonts w:cs="Tahoma"/>
          <w:sz w:val="22"/>
          <w:szCs w:val="22"/>
        </w:rPr>
        <w:t>. V kolikor pa bo neznank v roku naslednjih 3 mesecev veliko, se lahko zgodijo naslednje spremembe:</w:t>
      </w:r>
    </w:p>
    <w:p w:rsidR="005C2506" w:rsidRPr="00687BE6" w:rsidRDefault="005C2506" w:rsidP="00C30D75">
      <w:pPr>
        <w:pStyle w:val="Odstavekseznama"/>
        <w:numPr>
          <w:ilvl w:val="0"/>
          <w:numId w:val="12"/>
        </w:numPr>
        <w:jc w:val="both"/>
        <w:rPr>
          <w:rFonts w:cs="Tahoma"/>
        </w:rPr>
      </w:pPr>
      <w:r w:rsidRPr="00C30D75">
        <w:rPr>
          <w:rFonts w:ascii="Tahoma" w:hAnsi="Tahoma" w:cs="Tahoma"/>
        </w:rPr>
        <w:t>močan porast blagovne menjave med Združenim kraljestvom in EU, zaradi neznank o prihodnjih carinah in omejitvah</w:t>
      </w:r>
      <w:r w:rsidR="003A1BA4">
        <w:rPr>
          <w:rFonts w:ascii="Tahoma" w:hAnsi="Tahoma" w:cs="Tahoma"/>
        </w:rPr>
        <w:t>,</w:t>
      </w:r>
    </w:p>
    <w:p w:rsidR="005C2506" w:rsidRPr="00687BE6" w:rsidRDefault="005C2506" w:rsidP="00C30D75">
      <w:pPr>
        <w:pStyle w:val="Odstavekseznama"/>
        <w:numPr>
          <w:ilvl w:val="0"/>
          <w:numId w:val="12"/>
        </w:numPr>
        <w:jc w:val="both"/>
        <w:rPr>
          <w:rFonts w:cs="Tahoma"/>
        </w:rPr>
      </w:pPr>
      <w:r w:rsidRPr="00C30D75">
        <w:rPr>
          <w:rFonts w:ascii="Tahoma" w:hAnsi="Tahoma" w:cs="Tahoma"/>
        </w:rPr>
        <w:t>manj poslovnih investicij v EU in Združenem kraljestvu</w:t>
      </w:r>
      <w:r w:rsidR="003A1BA4">
        <w:rPr>
          <w:rFonts w:ascii="Tahoma" w:hAnsi="Tahoma" w:cs="Tahoma"/>
        </w:rPr>
        <w:t>,</w:t>
      </w:r>
    </w:p>
    <w:p w:rsidR="005C2506" w:rsidRPr="00687BE6" w:rsidRDefault="005C2506" w:rsidP="00C30D75">
      <w:pPr>
        <w:pStyle w:val="Odstavekseznama"/>
        <w:numPr>
          <w:ilvl w:val="0"/>
          <w:numId w:val="12"/>
        </w:numPr>
        <w:jc w:val="both"/>
        <w:rPr>
          <w:rFonts w:cs="Tahoma"/>
        </w:rPr>
      </w:pPr>
      <w:r w:rsidRPr="00C30D75">
        <w:rPr>
          <w:rFonts w:ascii="Tahoma" w:hAnsi="Tahoma" w:cs="Tahoma"/>
        </w:rPr>
        <w:t>upad optimizma potrošnikov v EU nasploh</w:t>
      </w:r>
      <w:r w:rsidR="003A1BA4">
        <w:rPr>
          <w:rFonts w:ascii="Tahoma" w:hAnsi="Tahoma" w:cs="Tahoma"/>
        </w:rPr>
        <w:t>.</w:t>
      </w:r>
    </w:p>
    <w:p w:rsidR="003A1BA4" w:rsidRDefault="005C2506">
      <w:pPr>
        <w:jc w:val="both"/>
        <w:rPr>
          <w:rFonts w:cs="Tahoma"/>
        </w:rPr>
      </w:pPr>
      <w:r>
        <w:rPr>
          <w:rFonts w:cs="Tahoma"/>
        </w:rPr>
        <w:t xml:space="preserve">Prva sprememba bi pozitivno vplivala na BDP, vendar bi bil negativni vpliv zadnjih dveh močnejši. Ocenjujemo, da bi se rast BDP v EU znižala za 0,2 do 0,3 odstotne točke. Na nivoju dejavnosti so med bolj prizadetimi britanske finančne družbe, sploh tiste, ki so iz Londona izvajale operacije za države EU. Pridobili naj bi regionalni finančni centri kot so Paris, Frankfurt, Varšava, Milano in Dublin. Ocenjujemo, da se bosta EU in Združeno kraljestvo lahko uspešno </w:t>
      </w:r>
      <w:r>
        <w:rPr>
          <w:rFonts w:cs="Tahoma"/>
        </w:rPr>
        <w:lastRenderedPageBreak/>
        <w:t>dogovorili o prihodnjem načinu gospodarskega</w:t>
      </w:r>
      <w:r w:rsidR="003A1BA4">
        <w:rPr>
          <w:rFonts w:cs="Tahoma"/>
        </w:rPr>
        <w:t xml:space="preserve"> sodelovanja. </w:t>
      </w:r>
      <w:r w:rsidR="00D50FE3">
        <w:rPr>
          <w:rFonts w:cs="Tahoma"/>
        </w:rPr>
        <w:t xml:space="preserve">EU-28 je zaradi odločitve Britancev politično oslabljena, kar lahko omejuje njeno vlogo napram ostalim velesilam. To ni zanemarljiva posledica, saj imajo pri določitvi pravil igre večji ekonomski bloki večjo moč. </w:t>
      </w:r>
    </w:p>
    <w:p w:rsidR="003A1BA4" w:rsidRPr="00C30D75" w:rsidRDefault="003A1BA4">
      <w:pPr>
        <w:jc w:val="both"/>
        <w:rPr>
          <w:rFonts w:cs="Tahoma"/>
          <w:b/>
        </w:rPr>
      </w:pPr>
      <w:r w:rsidRPr="00C30D75">
        <w:rPr>
          <w:rFonts w:cs="Tahoma"/>
          <w:b/>
        </w:rPr>
        <w:t>Manj izvoza, manj turistov</w:t>
      </w:r>
    </w:p>
    <w:p w:rsidR="005C2506" w:rsidRDefault="003A1BA4">
      <w:pPr>
        <w:jc w:val="both"/>
        <w:rPr>
          <w:rFonts w:cs="Tahoma"/>
        </w:rPr>
      </w:pPr>
      <w:r>
        <w:rPr>
          <w:rFonts w:cs="Tahoma"/>
        </w:rPr>
        <w:t xml:space="preserve">Slovenija bo utrpela udarec predvsem zaradi nekoliko manjše rasti povpraševanja na glavnih izvoznih trgih, saj naj bi se poslovni optimizem v Evropi zmanjšal, tudi manjša kupna moč britanskih turistov naj bi znižala turistični izkupiček za okoli 20 mio EUR. </w:t>
      </w:r>
    </w:p>
    <w:p w:rsidR="00D50FE3" w:rsidRPr="00687BE6" w:rsidRDefault="00D50FE3">
      <w:pPr>
        <w:jc w:val="both"/>
        <w:rPr>
          <w:rFonts w:cs="Tahoma"/>
        </w:rPr>
      </w:pPr>
    </w:p>
    <w:p w:rsidR="00D50FE3" w:rsidRPr="00E004AC" w:rsidRDefault="00D50FE3" w:rsidP="00D50FE3">
      <w:pPr>
        <w:jc w:val="both"/>
        <w:rPr>
          <w:rFonts w:cs="Tahoma"/>
          <w:sz w:val="22"/>
          <w:szCs w:val="22"/>
        </w:rPr>
      </w:pPr>
      <w:r w:rsidRPr="00C657CC">
        <w:rPr>
          <w:rFonts w:cs="Tahoma"/>
          <w:b/>
          <w:color w:val="222222"/>
          <w:sz w:val="22"/>
          <w:szCs w:val="22"/>
          <w:shd w:val="clear" w:color="auto" w:fill="FFFFFF"/>
        </w:rPr>
        <w:t>Samo Hribar Milič, generalni direktor GZS: »</w:t>
      </w:r>
      <w:r>
        <w:rPr>
          <w:rFonts w:cs="Tahoma"/>
          <w:b/>
          <w:color w:val="222222"/>
          <w:sz w:val="22"/>
          <w:szCs w:val="22"/>
          <w:shd w:val="clear" w:color="auto" w:fill="FFFFFF"/>
        </w:rPr>
        <w:t xml:space="preserve">Odločitev Britancev je presenetljiva, vendar jo spoštujemo. Nikakor ne smemo dopustiti, da se EU zaradi tega ekonomsko zapira, saj prost pretok blaga, storitev, kapitala in delovne sile ostaja temeljni </w:t>
      </w:r>
      <w:r w:rsidR="00330E85">
        <w:rPr>
          <w:rFonts w:cs="Tahoma"/>
          <w:b/>
          <w:color w:val="222222"/>
          <w:sz w:val="22"/>
          <w:szCs w:val="22"/>
          <w:shd w:val="clear" w:color="auto" w:fill="FFFFFF"/>
        </w:rPr>
        <w:t>postulat</w:t>
      </w:r>
      <w:r>
        <w:rPr>
          <w:rFonts w:cs="Tahoma"/>
          <w:b/>
          <w:color w:val="222222"/>
          <w:sz w:val="22"/>
          <w:szCs w:val="22"/>
          <w:shd w:val="clear" w:color="auto" w:fill="FFFFFF"/>
        </w:rPr>
        <w:t xml:space="preserve"> uspešne ekonomske skupnosti. Prepričan sem, da je možen uspešen dogovor za ohranitev teh svoboščin.</w:t>
      </w:r>
      <w:r w:rsidRPr="00C657CC">
        <w:rPr>
          <w:rFonts w:cs="Tahoma"/>
          <w:b/>
          <w:color w:val="222222"/>
          <w:sz w:val="22"/>
          <w:szCs w:val="22"/>
          <w:shd w:val="clear" w:color="auto" w:fill="FFFFFF"/>
        </w:rPr>
        <w:t>«</w:t>
      </w:r>
    </w:p>
    <w:p w:rsidR="00155A18" w:rsidRPr="004C264E" w:rsidRDefault="00155A18" w:rsidP="00155A18">
      <w:pPr>
        <w:jc w:val="both"/>
        <w:rPr>
          <w:rFonts w:cs="Tahoma"/>
        </w:rPr>
      </w:pPr>
    </w:p>
    <w:p w:rsidR="00B0385E" w:rsidRPr="004C264E" w:rsidRDefault="00BB3DF2" w:rsidP="004F08A8">
      <w:pPr>
        <w:rPr>
          <w:rFonts w:cs="Tahoma"/>
        </w:rPr>
      </w:pPr>
      <w:r w:rsidRPr="004C264E">
        <w:rPr>
          <w:rFonts w:cs="Tahoma"/>
        </w:rPr>
        <w:t xml:space="preserve"> </w:t>
      </w:r>
      <w:r w:rsidR="001722D4" w:rsidRPr="004C264E">
        <w:rPr>
          <w:rFonts w:cs="Tahoma"/>
          <w:noProof/>
        </w:rPr>
        <w:drawing>
          <wp:inline distT="0" distB="0" distL="0" distR="0" wp14:anchorId="6A371007" wp14:editId="5D6EC0DF">
            <wp:extent cx="1682151" cy="519879"/>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0100" cy="534698"/>
                    </a:xfrm>
                    <a:prstGeom prst="rect">
                      <a:avLst/>
                    </a:prstGeom>
                    <a:noFill/>
                    <a:ln>
                      <a:noFill/>
                    </a:ln>
                  </pic:spPr>
                </pic:pic>
              </a:graphicData>
            </a:graphic>
          </wp:inline>
        </w:drawing>
      </w:r>
    </w:p>
    <w:sectPr w:rsidR="00B0385E" w:rsidRPr="004C264E" w:rsidSect="00B0385E">
      <w:pgSz w:w="11906" w:h="16838"/>
      <w:pgMar w:top="899" w:right="1106" w:bottom="900" w:left="900" w:header="708" w:footer="708" w:gutter="0"/>
      <w:pgBorders w:offsetFrom="page">
        <w:top w:val="single" w:sz="4" w:space="24" w:color="5C141F"/>
        <w:left w:val="single" w:sz="4" w:space="24" w:color="5C141F"/>
        <w:bottom w:val="single" w:sz="4" w:space="24" w:color="5C141F"/>
        <w:right w:val="single" w:sz="4" w:space="24" w:color="5C141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6B9" w:rsidRDefault="00DC46B9">
      <w:r>
        <w:separator/>
      </w:r>
    </w:p>
  </w:endnote>
  <w:endnote w:type="continuationSeparator" w:id="0">
    <w:p w:rsidR="00DC46B9" w:rsidRDefault="00DC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6B9" w:rsidRDefault="00DC46B9">
      <w:r>
        <w:separator/>
      </w:r>
    </w:p>
  </w:footnote>
  <w:footnote w:type="continuationSeparator" w:id="0">
    <w:p w:rsidR="00DC46B9" w:rsidRDefault="00DC46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6368"/>
    <w:multiLevelType w:val="hybridMultilevel"/>
    <w:tmpl w:val="A31E54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C26CA1"/>
    <w:multiLevelType w:val="hybridMultilevel"/>
    <w:tmpl w:val="32EA86A6"/>
    <w:lvl w:ilvl="0" w:tplc="2730C59A">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970601"/>
    <w:multiLevelType w:val="hybridMultilevel"/>
    <w:tmpl w:val="057E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528D4"/>
    <w:multiLevelType w:val="hybridMultilevel"/>
    <w:tmpl w:val="11F407EC"/>
    <w:lvl w:ilvl="0" w:tplc="04240001">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67F02B9"/>
    <w:multiLevelType w:val="hybridMultilevel"/>
    <w:tmpl w:val="4D201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45DDD"/>
    <w:multiLevelType w:val="hybridMultilevel"/>
    <w:tmpl w:val="3EBE6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F10FC"/>
    <w:multiLevelType w:val="hybridMultilevel"/>
    <w:tmpl w:val="9C341F00"/>
    <w:lvl w:ilvl="0" w:tplc="04240001">
      <w:start w:val="1"/>
      <w:numFmt w:val="bullet"/>
      <w:lvlText w:val=""/>
      <w:lvlJc w:val="left"/>
      <w:pPr>
        <w:tabs>
          <w:tab w:val="num" w:pos="3240"/>
        </w:tabs>
        <w:ind w:left="3240" w:hanging="360"/>
      </w:pPr>
      <w:rPr>
        <w:rFonts w:ascii="Symbol" w:hAnsi="Symbol" w:hint="default"/>
      </w:rPr>
    </w:lvl>
    <w:lvl w:ilvl="1" w:tplc="04240003" w:tentative="1">
      <w:start w:val="1"/>
      <w:numFmt w:val="bullet"/>
      <w:lvlText w:val="o"/>
      <w:lvlJc w:val="left"/>
      <w:pPr>
        <w:tabs>
          <w:tab w:val="num" w:pos="3960"/>
        </w:tabs>
        <w:ind w:left="3960" w:hanging="360"/>
      </w:pPr>
      <w:rPr>
        <w:rFonts w:ascii="Courier New" w:hAnsi="Courier New" w:hint="default"/>
      </w:rPr>
    </w:lvl>
    <w:lvl w:ilvl="2" w:tplc="04240005" w:tentative="1">
      <w:start w:val="1"/>
      <w:numFmt w:val="bullet"/>
      <w:lvlText w:val=""/>
      <w:lvlJc w:val="left"/>
      <w:pPr>
        <w:tabs>
          <w:tab w:val="num" w:pos="4680"/>
        </w:tabs>
        <w:ind w:left="4680" w:hanging="360"/>
      </w:pPr>
      <w:rPr>
        <w:rFonts w:ascii="Wingdings" w:hAnsi="Wingdings" w:hint="default"/>
      </w:rPr>
    </w:lvl>
    <w:lvl w:ilvl="3" w:tplc="04240001" w:tentative="1">
      <w:start w:val="1"/>
      <w:numFmt w:val="bullet"/>
      <w:lvlText w:val=""/>
      <w:lvlJc w:val="left"/>
      <w:pPr>
        <w:tabs>
          <w:tab w:val="num" w:pos="5400"/>
        </w:tabs>
        <w:ind w:left="5400" w:hanging="360"/>
      </w:pPr>
      <w:rPr>
        <w:rFonts w:ascii="Symbol" w:hAnsi="Symbol" w:hint="default"/>
      </w:rPr>
    </w:lvl>
    <w:lvl w:ilvl="4" w:tplc="04240003" w:tentative="1">
      <w:start w:val="1"/>
      <w:numFmt w:val="bullet"/>
      <w:lvlText w:val="o"/>
      <w:lvlJc w:val="left"/>
      <w:pPr>
        <w:tabs>
          <w:tab w:val="num" w:pos="6120"/>
        </w:tabs>
        <w:ind w:left="6120" w:hanging="360"/>
      </w:pPr>
      <w:rPr>
        <w:rFonts w:ascii="Courier New" w:hAnsi="Courier New" w:hint="default"/>
      </w:rPr>
    </w:lvl>
    <w:lvl w:ilvl="5" w:tplc="04240005" w:tentative="1">
      <w:start w:val="1"/>
      <w:numFmt w:val="bullet"/>
      <w:lvlText w:val=""/>
      <w:lvlJc w:val="left"/>
      <w:pPr>
        <w:tabs>
          <w:tab w:val="num" w:pos="6840"/>
        </w:tabs>
        <w:ind w:left="6840" w:hanging="360"/>
      </w:pPr>
      <w:rPr>
        <w:rFonts w:ascii="Wingdings" w:hAnsi="Wingdings" w:hint="default"/>
      </w:rPr>
    </w:lvl>
    <w:lvl w:ilvl="6" w:tplc="04240001" w:tentative="1">
      <w:start w:val="1"/>
      <w:numFmt w:val="bullet"/>
      <w:lvlText w:val=""/>
      <w:lvlJc w:val="left"/>
      <w:pPr>
        <w:tabs>
          <w:tab w:val="num" w:pos="7560"/>
        </w:tabs>
        <w:ind w:left="7560" w:hanging="360"/>
      </w:pPr>
      <w:rPr>
        <w:rFonts w:ascii="Symbol" w:hAnsi="Symbol" w:hint="default"/>
      </w:rPr>
    </w:lvl>
    <w:lvl w:ilvl="7" w:tplc="04240003" w:tentative="1">
      <w:start w:val="1"/>
      <w:numFmt w:val="bullet"/>
      <w:lvlText w:val="o"/>
      <w:lvlJc w:val="left"/>
      <w:pPr>
        <w:tabs>
          <w:tab w:val="num" w:pos="8280"/>
        </w:tabs>
        <w:ind w:left="8280" w:hanging="360"/>
      </w:pPr>
      <w:rPr>
        <w:rFonts w:ascii="Courier New" w:hAnsi="Courier New" w:hint="default"/>
      </w:rPr>
    </w:lvl>
    <w:lvl w:ilvl="8" w:tplc="04240005"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550C0581"/>
    <w:multiLevelType w:val="hybridMultilevel"/>
    <w:tmpl w:val="9EA82F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5DD4B44"/>
    <w:multiLevelType w:val="hybridMultilevel"/>
    <w:tmpl w:val="5F72164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6D2D5A"/>
    <w:multiLevelType w:val="hybridMultilevel"/>
    <w:tmpl w:val="4010FF0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5FD6596A"/>
    <w:multiLevelType w:val="hybridMultilevel"/>
    <w:tmpl w:val="F460C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9DC6488"/>
    <w:multiLevelType w:val="hybridMultilevel"/>
    <w:tmpl w:val="C60E7D74"/>
    <w:lvl w:ilvl="0" w:tplc="120EDFD2">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8"/>
  </w:num>
  <w:num w:numId="3">
    <w:abstractNumId w:val="11"/>
  </w:num>
  <w:num w:numId="4">
    <w:abstractNumId w:val="3"/>
  </w:num>
  <w:num w:numId="5">
    <w:abstractNumId w:val="9"/>
  </w:num>
  <w:num w:numId="6">
    <w:abstractNumId w:val="7"/>
  </w:num>
  <w:num w:numId="7">
    <w:abstractNumId w:val="10"/>
  </w:num>
  <w:num w:numId="8">
    <w:abstractNumId w:val="0"/>
  </w:num>
  <w:num w:numId="9">
    <w:abstractNumId w:val="1"/>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C0"/>
    <w:rsid w:val="00004F74"/>
    <w:rsid w:val="00010118"/>
    <w:rsid w:val="0001292A"/>
    <w:rsid w:val="000179F0"/>
    <w:rsid w:val="00017C70"/>
    <w:rsid w:val="0004298A"/>
    <w:rsid w:val="00073879"/>
    <w:rsid w:val="00075F45"/>
    <w:rsid w:val="0007798F"/>
    <w:rsid w:val="00087F84"/>
    <w:rsid w:val="000B1DCB"/>
    <w:rsid w:val="000C3489"/>
    <w:rsid w:val="000C4FE4"/>
    <w:rsid w:val="000D5F2D"/>
    <w:rsid w:val="000E3519"/>
    <w:rsid w:val="000E38DF"/>
    <w:rsid w:val="000F0679"/>
    <w:rsid w:val="000F760C"/>
    <w:rsid w:val="00113FFA"/>
    <w:rsid w:val="00117B50"/>
    <w:rsid w:val="00122345"/>
    <w:rsid w:val="00126461"/>
    <w:rsid w:val="0013044A"/>
    <w:rsid w:val="00147D93"/>
    <w:rsid w:val="00155A18"/>
    <w:rsid w:val="00157098"/>
    <w:rsid w:val="00161D93"/>
    <w:rsid w:val="00165064"/>
    <w:rsid w:val="00166A19"/>
    <w:rsid w:val="00167D1A"/>
    <w:rsid w:val="001722D4"/>
    <w:rsid w:val="00175F68"/>
    <w:rsid w:val="001876AD"/>
    <w:rsid w:val="001A339D"/>
    <w:rsid w:val="001A66BC"/>
    <w:rsid w:val="001B061D"/>
    <w:rsid w:val="001C6A39"/>
    <w:rsid w:val="001F1171"/>
    <w:rsid w:val="00213ECE"/>
    <w:rsid w:val="00216667"/>
    <w:rsid w:val="002354DE"/>
    <w:rsid w:val="00236642"/>
    <w:rsid w:val="00251990"/>
    <w:rsid w:val="00274E94"/>
    <w:rsid w:val="0028048D"/>
    <w:rsid w:val="00294FD8"/>
    <w:rsid w:val="002B68A6"/>
    <w:rsid w:val="002C48F8"/>
    <w:rsid w:val="002D3F30"/>
    <w:rsid w:val="002D6454"/>
    <w:rsid w:val="002E528E"/>
    <w:rsid w:val="002E542C"/>
    <w:rsid w:val="00310C89"/>
    <w:rsid w:val="00311763"/>
    <w:rsid w:val="00322678"/>
    <w:rsid w:val="0032731D"/>
    <w:rsid w:val="00330E85"/>
    <w:rsid w:val="00333BB8"/>
    <w:rsid w:val="003359C7"/>
    <w:rsid w:val="00344A7C"/>
    <w:rsid w:val="003504C8"/>
    <w:rsid w:val="00357A71"/>
    <w:rsid w:val="0037077C"/>
    <w:rsid w:val="00373E9F"/>
    <w:rsid w:val="00380BD6"/>
    <w:rsid w:val="003A1BA4"/>
    <w:rsid w:val="003A40FF"/>
    <w:rsid w:val="003B0B18"/>
    <w:rsid w:val="003B3D2E"/>
    <w:rsid w:val="003B72BF"/>
    <w:rsid w:val="003C0408"/>
    <w:rsid w:val="003C277E"/>
    <w:rsid w:val="003E000B"/>
    <w:rsid w:val="003E081A"/>
    <w:rsid w:val="003E4F96"/>
    <w:rsid w:val="003E60C8"/>
    <w:rsid w:val="003E7125"/>
    <w:rsid w:val="003F291A"/>
    <w:rsid w:val="00400289"/>
    <w:rsid w:val="00406585"/>
    <w:rsid w:val="00412273"/>
    <w:rsid w:val="00423CCB"/>
    <w:rsid w:val="00426FD6"/>
    <w:rsid w:val="00431F63"/>
    <w:rsid w:val="004370F3"/>
    <w:rsid w:val="00441580"/>
    <w:rsid w:val="00443D30"/>
    <w:rsid w:val="00444D0A"/>
    <w:rsid w:val="00450779"/>
    <w:rsid w:val="00455151"/>
    <w:rsid w:val="00460EAB"/>
    <w:rsid w:val="00475864"/>
    <w:rsid w:val="00494867"/>
    <w:rsid w:val="004A08AF"/>
    <w:rsid w:val="004C0EB4"/>
    <w:rsid w:val="004C264E"/>
    <w:rsid w:val="004E51D6"/>
    <w:rsid w:val="004F08A8"/>
    <w:rsid w:val="004F5AE6"/>
    <w:rsid w:val="00502CF0"/>
    <w:rsid w:val="00502F11"/>
    <w:rsid w:val="00526B3A"/>
    <w:rsid w:val="0053342E"/>
    <w:rsid w:val="005664C2"/>
    <w:rsid w:val="005730E4"/>
    <w:rsid w:val="00577C82"/>
    <w:rsid w:val="005962E1"/>
    <w:rsid w:val="005A08B9"/>
    <w:rsid w:val="005B0EF4"/>
    <w:rsid w:val="005B2206"/>
    <w:rsid w:val="005B4D94"/>
    <w:rsid w:val="005B5E34"/>
    <w:rsid w:val="005C2506"/>
    <w:rsid w:val="005D0757"/>
    <w:rsid w:val="005F245A"/>
    <w:rsid w:val="005F4533"/>
    <w:rsid w:val="00613AF9"/>
    <w:rsid w:val="00616AF9"/>
    <w:rsid w:val="00620428"/>
    <w:rsid w:val="00632897"/>
    <w:rsid w:val="006529C4"/>
    <w:rsid w:val="0066281D"/>
    <w:rsid w:val="00663C5F"/>
    <w:rsid w:val="006701F7"/>
    <w:rsid w:val="00677609"/>
    <w:rsid w:val="006805CE"/>
    <w:rsid w:val="00687BE6"/>
    <w:rsid w:val="00695578"/>
    <w:rsid w:val="006A4A48"/>
    <w:rsid w:val="006A4B99"/>
    <w:rsid w:val="006B38ED"/>
    <w:rsid w:val="006C3A23"/>
    <w:rsid w:val="006C3F14"/>
    <w:rsid w:val="006C6B19"/>
    <w:rsid w:val="006D1D4E"/>
    <w:rsid w:val="006D5F48"/>
    <w:rsid w:val="006E496E"/>
    <w:rsid w:val="006F1F66"/>
    <w:rsid w:val="006F7FF6"/>
    <w:rsid w:val="00705950"/>
    <w:rsid w:val="00706D9A"/>
    <w:rsid w:val="00707017"/>
    <w:rsid w:val="00741971"/>
    <w:rsid w:val="00742437"/>
    <w:rsid w:val="007444C8"/>
    <w:rsid w:val="00757F91"/>
    <w:rsid w:val="00767D96"/>
    <w:rsid w:val="00771324"/>
    <w:rsid w:val="00771728"/>
    <w:rsid w:val="007724CC"/>
    <w:rsid w:val="007779BD"/>
    <w:rsid w:val="0078532D"/>
    <w:rsid w:val="007A224F"/>
    <w:rsid w:val="007A6798"/>
    <w:rsid w:val="007A7DE1"/>
    <w:rsid w:val="007B55C8"/>
    <w:rsid w:val="007C78F8"/>
    <w:rsid w:val="007D00D4"/>
    <w:rsid w:val="007D5FBE"/>
    <w:rsid w:val="007E18B0"/>
    <w:rsid w:val="007E3DC6"/>
    <w:rsid w:val="007E3FE7"/>
    <w:rsid w:val="007F2270"/>
    <w:rsid w:val="007F6388"/>
    <w:rsid w:val="00803776"/>
    <w:rsid w:val="008059B9"/>
    <w:rsid w:val="00816CF9"/>
    <w:rsid w:val="00834884"/>
    <w:rsid w:val="008420C7"/>
    <w:rsid w:val="008467EA"/>
    <w:rsid w:val="00847582"/>
    <w:rsid w:val="008567A0"/>
    <w:rsid w:val="00866B16"/>
    <w:rsid w:val="00874B5B"/>
    <w:rsid w:val="00875D1A"/>
    <w:rsid w:val="008766EE"/>
    <w:rsid w:val="00895625"/>
    <w:rsid w:val="008A0DFE"/>
    <w:rsid w:val="008A7ECC"/>
    <w:rsid w:val="008D3679"/>
    <w:rsid w:val="008D57F9"/>
    <w:rsid w:val="008F11FB"/>
    <w:rsid w:val="008F2450"/>
    <w:rsid w:val="00900388"/>
    <w:rsid w:val="00903A3C"/>
    <w:rsid w:val="00904E1A"/>
    <w:rsid w:val="0091124E"/>
    <w:rsid w:val="00922473"/>
    <w:rsid w:val="00935857"/>
    <w:rsid w:val="00936004"/>
    <w:rsid w:val="00937EF2"/>
    <w:rsid w:val="009467D0"/>
    <w:rsid w:val="00956E56"/>
    <w:rsid w:val="00965271"/>
    <w:rsid w:val="00975CE3"/>
    <w:rsid w:val="009815E0"/>
    <w:rsid w:val="00990047"/>
    <w:rsid w:val="009903C5"/>
    <w:rsid w:val="00993700"/>
    <w:rsid w:val="009A52FE"/>
    <w:rsid w:val="009B3D1A"/>
    <w:rsid w:val="009D3848"/>
    <w:rsid w:val="009E3F9F"/>
    <w:rsid w:val="009F3051"/>
    <w:rsid w:val="00A05B02"/>
    <w:rsid w:val="00A0633F"/>
    <w:rsid w:val="00A3191C"/>
    <w:rsid w:val="00A40BD7"/>
    <w:rsid w:val="00A50CEE"/>
    <w:rsid w:val="00A607C2"/>
    <w:rsid w:val="00A649B9"/>
    <w:rsid w:val="00A71BCF"/>
    <w:rsid w:val="00A72AEA"/>
    <w:rsid w:val="00A75B2D"/>
    <w:rsid w:val="00A77B1D"/>
    <w:rsid w:val="00A84F80"/>
    <w:rsid w:val="00A96DBA"/>
    <w:rsid w:val="00AB3CA9"/>
    <w:rsid w:val="00AB56D5"/>
    <w:rsid w:val="00AC7952"/>
    <w:rsid w:val="00AD1A80"/>
    <w:rsid w:val="00AD42B3"/>
    <w:rsid w:val="00AD66E1"/>
    <w:rsid w:val="00AD7BC0"/>
    <w:rsid w:val="00AE2724"/>
    <w:rsid w:val="00AE7CC6"/>
    <w:rsid w:val="00AF1A5A"/>
    <w:rsid w:val="00B0063B"/>
    <w:rsid w:val="00B01757"/>
    <w:rsid w:val="00B01BD5"/>
    <w:rsid w:val="00B01EBD"/>
    <w:rsid w:val="00B0385E"/>
    <w:rsid w:val="00B1197A"/>
    <w:rsid w:val="00B21A07"/>
    <w:rsid w:val="00B224E0"/>
    <w:rsid w:val="00B22964"/>
    <w:rsid w:val="00B35830"/>
    <w:rsid w:val="00B45DED"/>
    <w:rsid w:val="00B45F35"/>
    <w:rsid w:val="00B53084"/>
    <w:rsid w:val="00B530C8"/>
    <w:rsid w:val="00B623AF"/>
    <w:rsid w:val="00B645AC"/>
    <w:rsid w:val="00B80E26"/>
    <w:rsid w:val="00B857F1"/>
    <w:rsid w:val="00B9018E"/>
    <w:rsid w:val="00B926A8"/>
    <w:rsid w:val="00B93BB0"/>
    <w:rsid w:val="00BA59E0"/>
    <w:rsid w:val="00BB1720"/>
    <w:rsid w:val="00BB3DF2"/>
    <w:rsid w:val="00BB6B83"/>
    <w:rsid w:val="00BC188D"/>
    <w:rsid w:val="00BC4702"/>
    <w:rsid w:val="00BD7421"/>
    <w:rsid w:val="00BE5AA3"/>
    <w:rsid w:val="00C04227"/>
    <w:rsid w:val="00C15818"/>
    <w:rsid w:val="00C21898"/>
    <w:rsid w:val="00C278DA"/>
    <w:rsid w:val="00C30D75"/>
    <w:rsid w:val="00C350F1"/>
    <w:rsid w:val="00C62E70"/>
    <w:rsid w:val="00C65FF9"/>
    <w:rsid w:val="00C774BB"/>
    <w:rsid w:val="00C820A8"/>
    <w:rsid w:val="00C83380"/>
    <w:rsid w:val="00C92326"/>
    <w:rsid w:val="00C9343D"/>
    <w:rsid w:val="00CA7BC0"/>
    <w:rsid w:val="00CD1598"/>
    <w:rsid w:val="00CE1DDA"/>
    <w:rsid w:val="00CE26BE"/>
    <w:rsid w:val="00CE38EC"/>
    <w:rsid w:val="00CF2326"/>
    <w:rsid w:val="00CF5656"/>
    <w:rsid w:val="00CF7DAB"/>
    <w:rsid w:val="00D01807"/>
    <w:rsid w:val="00D144D0"/>
    <w:rsid w:val="00D254C9"/>
    <w:rsid w:val="00D275F4"/>
    <w:rsid w:val="00D40F25"/>
    <w:rsid w:val="00D50DC9"/>
    <w:rsid w:val="00D50FE3"/>
    <w:rsid w:val="00D622F9"/>
    <w:rsid w:val="00D67439"/>
    <w:rsid w:val="00D768FF"/>
    <w:rsid w:val="00D77DC7"/>
    <w:rsid w:val="00D83247"/>
    <w:rsid w:val="00D90A83"/>
    <w:rsid w:val="00DB7E07"/>
    <w:rsid w:val="00DC0B59"/>
    <w:rsid w:val="00DC46B9"/>
    <w:rsid w:val="00DD67CE"/>
    <w:rsid w:val="00DF2A5F"/>
    <w:rsid w:val="00DF36BD"/>
    <w:rsid w:val="00DF4212"/>
    <w:rsid w:val="00DF4F62"/>
    <w:rsid w:val="00E003DC"/>
    <w:rsid w:val="00E01BB6"/>
    <w:rsid w:val="00E06FD9"/>
    <w:rsid w:val="00E14188"/>
    <w:rsid w:val="00E31654"/>
    <w:rsid w:val="00E41B7A"/>
    <w:rsid w:val="00E522AE"/>
    <w:rsid w:val="00E5542B"/>
    <w:rsid w:val="00E63509"/>
    <w:rsid w:val="00E66D70"/>
    <w:rsid w:val="00E92FDB"/>
    <w:rsid w:val="00EA0CE6"/>
    <w:rsid w:val="00EA1E83"/>
    <w:rsid w:val="00EC1840"/>
    <w:rsid w:val="00EC1892"/>
    <w:rsid w:val="00EC57C5"/>
    <w:rsid w:val="00EE1002"/>
    <w:rsid w:val="00EE7F99"/>
    <w:rsid w:val="00EF6C08"/>
    <w:rsid w:val="00F03DB5"/>
    <w:rsid w:val="00F2223B"/>
    <w:rsid w:val="00F300A6"/>
    <w:rsid w:val="00F31968"/>
    <w:rsid w:val="00F42398"/>
    <w:rsid w:val="00F462DF"/>
    <w:rsid w:val="00F46B2B"/>
    <w:rsid w:val="00F47EEA"/>
    <w:rsid w:val="00F53117"/>
    <w:rsid w:val="00F56533"/>
    <w:rsid w:val="00F66334"/>
    <w:rsid w:val="00F70906"/>
    <w:rsid w:val="00F93936"/>
    <w:rsid w:val="00FA06E1"/>
    <w:rsid w:val="00FA73D0"/>
    <w:rsid w:val="00FB3CAF"/>
    <w:rsid w:val="00FC0670"/>
    <w:rsid w:val="00FC23CC"/>
    <w:rsid w:val="00FC3A57"/>
    <w:rsid w:val="00FE56A9"/>
    <w:rsid w:val="00FF00FA"/>
    <w:rsid w:val="00FF78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1DC2784-EE7A-438E-860F-ED0D16B7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D0757"/>
    <w:pPr>
      <w:spacing w:after="90"/>
    </w:pPr>
    <w:rPr>
      <w:rFonts w:ascii="Tahoma" w:hAnsi="Tahoma"/>
      <w:sz w:val="24"/>
      <w:szCs w:val="24"/>
    </w:rPr>
  </w:style>
  <w:style w:type="paragraph" w:styleId="Naslov1">
    <w:name w:val="heading 1"/>
    <w:basedOn w:val="Navaden"/>
    <w:next w:val="Navaden"/>
    <w:link w:val="Naslov1Znak"/>
    <w:uiPriority w:val="99"/>
    <w:qFormat/>
    <w:rsid w:val="005D0757"/>
    <w:pPr>
      <w:spacing w:before="360" w:after="270"/>
      <w:outlineLvl w:val="0"/>
    </w:pPr>
    <w:rPr>
      <w:rFonts w:cs="Tahoma"/>
      <w:b/>
      <w:color w:val="99CC00"/>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E694D"/>
    <w:rPr>
      <w:rFonts w:asciiTheme="majorHAnsi" w:eastAsiaTheme="majorEastAsia" w:hAnsiTheme="majorHAnsi" w:cstheme="majorBidi"/>
      <w:b/>
      <w:bCs/>
      <w:kern w:val="32"/>
      <w:sz w:val="32"/>
      <w:szCs w:val="32"/>
    </w:rPr>
  </w:style>
  <w:style w:type="paragraph" w:styleId="Glava">
    <w:name w:val="header"/>
    <w:basedOn w:val="Navaden"/>
    <w:link w:val="GlavaZnak"/>
    <w:uiPriority w:val="99"/>
    <w:rsid w:val="00C774BB"/>
    <w:pPr>
      <w:tabs>
        <w:tab w:val="center" w:pos="4153"/>
        <w:tab w:val="right" w:pos="8306"/>
      </w:tabs>
    </w:pPr>
  </w:style>
  <w:style w:type="character" w:customStyle="1" w:styleId="GlavaZnak">
    <w:name w:val="Glava Znak"/>
    <w:basedOn w:val="Privzetapisavaodstavka"/>
    <w:link w:val="Glava"/>
    <w:uiPriority w:val="99"/>
    <w:semiHidden/>
    <w:rsid w:val="008E694D"/>
    <w:rPr>
      <w:rFonts w:ascii="Tahoma" w:hAnsi="Tahoma"/>
      <w:sz w:val="24"/>
      <w:szCs w:val="24"/>
    </w:rPr>
  </w:style>
  <w:style w:type="paragraph" w:styleId="Noga">
    <w:name w:val="footer"/>
    <w:basedOn w:val="Navaden"/>
    <w:link w:val="NogaZnak"/>
    <w:uiPriority w:val="99"/>
    <w:rsid w:val="00C774BB"/>
    <w:pPr>
      <w:tabs>
        <w:tab w:val="center" w:pos="4153"/>
        <w:tab w:val="right" w:pos="8306"/>
      </w:tabs>
    </w:pPr>
  </w:style>
  <w:style w:type="character" w:customStyle="1" w:styleId="NogaZnak">
    <w:name w:val="Noga Znak"/>
    <w:basedOn w:val="Privzetapisavaodstavka"/>
    <w:link w:val="Noga"/>
    <w:uiPriority w:val="99"/>
    <w:semiHidden/>
    <w:rsid w:val="008E694D"/>
    <w:rPr>
      <w:rFonts w:ascii="Tahoma" w:hAnsi="Tahoma"/>
      <w:sz w:val="24"/>
      <w:szCs w:val="24"/>
    </w:rPr>
  </w:style>
  <w:style w:type="character" w:styleId="tevilkastrani">
    <w:name w:val="page number"/>
    <w:basedOn w:val="Privzetapisavaodstavka"/>
    <w:uiPriority w:val="99"/>
    <w:rsid w:val="00C774BB"/>
    <w:rPr>
      <w:rFonts w:cs="Times New Roman"/>
    </w:rPr>
  </w:style>
  <w:style w:type="paragraph" w:styleId="Navadensplet">
    <w:name w:val="Normal (Web)"/>
    <w:basedOn w:val="Navaden"/>
    <w:uiPriority w:val="99"/>
    <w:rsid w:val="00C774BB"/>
    <w:pPr>
      <w:spacing w:after="258" w:line="258" w:lineRule="atLeast"/>
      <w:jc w:val="both"/>
    </w:pPr>
    <w:rPr>
      <w:sz w:val="20"/>
      <w:szCs w:val="20"/>
    </w:rPr>
  </w:style>
  <w:style w:type="table" w:styleId="Tabelamrea">
    <w:name w:val="Table Grid"/>
    <w:basedOn w:val="Navadnatabela"/>
    <w:uiPriority w:val="99"/>
    <w:rsid w:val="00D90A83"/>
    <w:pPr>
      <w:spacing w:after="9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avaden"/>
    <w:uiPriority w:val="99"/>
    <w:rsid w:val="006F1F66"/>
    <w:pPr>
      <w:autoSpaceDE w:val="0"/>
      <w:autoSpaceDN w:val="0"/>
      <w:adjustRightInd w:val="0"/>
      <w:spacing w:after="0" w:line="288" w:lineRule="auto"/>
      <w:textAlignment w:val="center"/>
    </w:pPr>
    <w:rPr>
      <w:rFonts w:ascii="Arial" w:hAnsi="Arial"/>
      <w:color w:val="000000"/>
      <w:lang w:val="en-GB"/>
    </w:rPr>
  </w:style>
  <w:style w:type="character" w:customStyle="1" w:styleId="TAJDAPELICON">
    <w:name w:val="TAJDA PELICON"/>
    <w:uiPriority w:val="99"/>
    <w:semiHidden/>
    <w:rsid w:val="00A649B9"/>
    <w:rPr>
      <w:rFonts w:ascii="Arial" w:hAnsi="Arial"/>
      <w:color w:val="000080"/>
      <w:sz w:val="20"/>
    </w:rPr>
  </w:style>
  <w:style w:type="character" w:styleId="Hiperpovezava">
    <w:name w:val="Hyperlink"/>
    <w:basedOn w:val="Privzetapisavaodstavka"/>
    <w:uiPriority w:val="99"/>
    <w:rsid w:val="00B926A8"/>
    <w:rPr>
      <w:rFonts w:cs="Times New Roman"/>
      <w:color w:val="0000FF"/>
      <w:u w:val="single"/>
    </w:rPr>
  </w:style>
  <w:style w:type="character" w:customStyle="1" w:styleId="st">
    <w:name w:val="st"/>
    <w:basedOn w:val="Privzetapisavaodstavka"/>
    <w:uiPriority w:val="99"/>
    <w:rsid w:val="00771324"/>
    <w:rPr>
      <w:rFonts w:cs="Times New Roman"/>
    </w:rPr>
  </w:style>
  <w:style w:type="character" w:styleId="Poudarek">
    <w:name w:val="Emphasis"/>
    <w:basedOn w:val="Privzetapisavaodstavka"/>
    <w:uiPriority w:val="20"/>
    <w:qFormat/>
    <w:rsid w:val="00771324"/>
    <w:rPr>
      <w:rFonts w:cs="Times New Roman"/>
      <w:i/>
    </w:rPr>
  </w:style>
  <w:style w:type="paragraph" w:styleId="Golobesedilo">
    <w:name w:val="Plain Text"/>
    <w:basedOn w:val="Navaden"/>
    <w:link w:val="GolobesediloZnak"/>
    <w:uiPriority w:val="99"/>
    <w:rsid w:val="00956E56"/>
    <w:pPr>
      <w:spacing w:after="0"/>
    </w:pPr>
    <w:rPr>
      <w:rFonts w:ascii="Calibri" w:hAnsi="Calibri"/>
      <w:sz w:val="22"/>
      <w:szCs w:val="21"/>
      <w:lang w:eastAsia="en-US"/>
    </w:rPr>
  </w:style>
  <w:style w:type="character" w:customStyle="1" w:styleId="GolobesediloZnak">
    <w:name w:val="Golo besedilo Znak"/>
    <w:basedOn w:val="Privzetapisavaodstavka"/>
    <w:link w:val="Golobesedilo"/>
    <w:uiPriority w:val="99"/>
    <w:locked/>
    <w:rsid w:val="00956E56"/>
    <w:rPr>
      <w:rFonts w:ascii="Calibri" w:eastAsia="Times New Roman" w:hAnsi="Calibri" w:cs="Times New Roman"/>
      <w:sz w:val="21"/>
      <w:szCs w:val="21"/>
      <w:lang w:eastAsia="en-US"/>
    </w:rPr>
  </w:style>
  <w:style w:type="paragraph" w:styleId="Besedilooblaka">
    <w:name w:val="Balloon Text"/>
    <w:basedOn w:val="Navaden"/>
    <w:link w:val="BesedilooblakaZnak"/>
    <w:uiPriority w:val="99"/>
    <w:semiHidden/>
    <w:unhideWhenUsed/>
    <w:rsid w:val="00B45F35"/>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45F35"/>
    <w:rPr>
      <w:rFonts w:ascii="Segoe UI" w:hAnsi="Segoe UI" w:cs="Segoe UI"/>
      <w:sz w:val="18"/>
      <w:szCs w:val="18"/>
    </w:rPr>
  </w:style>
  <w:style w:type="character" w:styleId="Pripombasklic">
    <w:name w:val="annotation reference"/>
    <w:basedOn w:val="Privzetapisavaodstavka"/>
    <w:uiPriority w:val="99"/>
    <w:semiHidden/>
    <w:unhideWhenUsed/>
    <w:rsid w:val="00C92326"/>
    <w:rPr>
      <w:sz w:val="16"/>
      <w:szCs w:val="16"/>
    </w:rPr>
  </w:style>
  <w:style w:type="paragraph" w:styleId="Pripombabesedilo">
    <w:name w:val="annotation text"/>
    <w:basedOn w:val="Navaden"/>
    <w:link w:val="PripombabesediloZnak"/>
    <w:uiPriority w:val="99"/>
    <w:semiHidden/>
    <w:unhideWhenUsed/>
    <w:rsid w:val="00C92326"/>
    <w:rPr>
      <w:sz w:val="20"/>
      <w:szCs w:val="20"/>
    </w:rPr>
  </w:style>
  <w:style w:type="character" w:customStyle="1" w:styleId="PripombabesediloZnak">
    <w:name w:val="Pripomba – besedilo Znak"/>
    <w:basedOn w:val="Privzetapisavaodstavka"/>
    <w:link w:val="Pripombabesedilo"/>
    <w:uiPriority w:val="99"/>
    <w:semiHidden/>
    <w:rsid w:val="00C92326"/>
    <w:rPr>
      <w:rFonts w:ascii="Tahoma" w:hAnsi="Tahoma"/>
      <w:sz w:val="20"/>
      <w:szCs w:val="20"/>
    </w:rPr>
  </w:style>
  <w:style w:type="paragraph" w:styleId="Zadevapripombe">
    <w:name w:val="annotation subject"/>
    <w:basedOn w:val="Pripombabesedilo"/>
    <w:next w:val="Pripombabesedilo"/>
    <w:link w:val="ZadevapripombeZnak"/>
    <w:uiPriority w:val="99"/>
    <w:semiHidden/>
    <w:unhideWhenUsed/>
    <w:rsid w:val="00C92326"/>
    <w:rPr>
      <w:b/>
      <w:bCs/>
    </w:rPr>
  </w:style>
  <w:style w:type="character" w:customStyle="1" w:styleId="ZadevapripombeZnak">
    <w:name w:val="Zadeva pripombe Znak"/>
    <w:basedOn w:val="PripombabesediloZnak"/>
    <w:link w:val="Zadevapripombe"/>
    <w:uiPriority w:val="99"/>
    <w:semiHidden/>
    <w:rsid w:val="00C92326"/>
    <w:rPr>
      <w:rFonts w:ascii="Tahoma" w:hAnsi="Tahoma"/>
      <w:b/>
      <w:bCs/>
      <w:sz w:val="20"/>
      <w:szCs w:val="20"/>
    </w:rPr>
  </w:style>
  <w:style w:type="paragraph" w:styleId="Odstavekseznama">
    <w:name w:val="List Paragraph"/>
    <w:basedOn w:val="Navaden"/>
    <w:uiPriority w:val="34"/>
    <w:qFormat/>
    <w:rsid w:val="00F56533"/>
    <w:pPr>
      <w:spacing w:after="160" w:line="252" w:lineRule="auto"/>
      <w:ind w:left="720"/>
      <w:contextualSpacing/>
    </w:pPr>
    <w:rPr>
      <w:rFonts w:ascii="Calibri" w:eastAsiaTheme="minorHAnsi" w:hAnsi="Calibri"/>
      <w:sz w:val="22"/>
      <w:szCs w:val="22"/>
      <w:lang w:eastAsia="en-US"/>
    </w:rPr>
  </w:style>
  <w:style w:type="table" w:styleId="Navadnatabela1">
    <w:name w:val="Plain Table 1"/>
    <w:basedOn w:val="Navadnatabela"/>
    <w:uiPriority w:val="41"/>
    <w:rsid w:val="00AE27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Privzetapisavaodstavka"/>
    <w:rsid w:val="007444C8"/>
  </w:style>
  <w:style w:type="character" w:styleId="Krepko">
    <w:name w:val="Strong"/>
    <w:basedOn w:val="Privzetapisavaodstavka"/>
    <w:uiPriority w:val="22"/>
    <w:qFormat/>
    <w:locked/>
    <w:rsid w:val="003B3D2E"/>
    <w:rPr>
      <w:b/>
      <w:bCs/>
    </w:rPr>
  </w:style>
  <w:style w:type="character" w:customStyle="1" w:styleId="lexitem">
    <w:name w:val="lexitem"/>
    <w:basedOn w:val="Privzetapisavaodstavka"/>
    <w:rsid w:val="00B1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073394">
      <w:bodyDiv w:val="1"/>
      <w:marLeft w:val="0"/>
      <w:marRight w:val="0"/>
      <w:marTop w:val="0"/>
      <w:marBottom w:val="0"/>
      <w:divBdr>
        <w:top w:val="none" w:sz="0" w:space="0" w:color="auto"/>
        <w:left w:val="none" w:sz="0" w:space="0" w:color="auto"/>
        <w:bottom w:val="none" w:sz="0" w:space="0" w:color="auto"/>
        <w:right w:val="none" w:sz="0" w:space="0" w:color="auto"/>
      </w:divBdr>
    </w:div>
    <w:div w:id="1604142968">
      <w:bodyDiv w:val="1"/>
      <w:marLeft w:val="0"/>
      <w:marRight w:val="0"/>
      <w:marTop w:val="0"/>
      <w:marBottom w:val="0"/>
      <w:divBdr>
        <w:top w:val="none" w:sz="0" w:space="0" w:color="auto"/>
        <w:left w:val="none" w:sz="0" w:space="0" w:color="auto"/>
        <w:bottom w:val="none" w:sz="0" w:space="0" w:color="auto"/>
        <w:right w:val="none" w:sz="0" w:space="0" w:color="auto"/>
      </w:divBdr>
    </w:div>
    <w:div w:id="2107579502">
      <w:marLeft w:val="0"/>
      <w:marRight w:val="0"/>
      <w:marTop w:val="0"/>
      <w:marBottom w:val="0"/>
      <w:divBdr>
        <w:top w:val="none" w:sz="0" w:space="0" w:color="auto"/>
        <w:left w:val="none" w:sz="0" w:space="0" w:color="auto"/>
        <w:bottom w:val="none" w:sz="0" w:space="0" w:color="auto"/>
        <w:right w:val="none" w:sz="0" w:space="0" w:color="auto"/>
      </w:divBdr>
      <w:divsChild>
        <w:div w:id="2107579504">
          <w:marLeft w:val="0"/>
          <w:marRight w:val="0"/>
          <w:marTop w:val="0"/>
          <w:marBottom w:val="0"/>
          <w:divBdr>
            <w:top w:val="none" w:sz="0" w:space="0" w:color="auto"/>
            <w:left w:val="none" w:sz="0" w:space="0" w:color="auto"/>
            <w:bottom w:val="none" w:sz="0" w:space="0" w:color="auto"/>
            <w:right w:val="none" w:sz="0" w:space="0" w:color="auto"/>
          </w:divBdr>
          <w:divsChild>
            <w:div w:id="2107579507">
              <w:marLeft w:val="0"/>
              <w:marRight w:val="0"/>
              <w:marTop w:val="111"/>
              <w:marBottom w:val="0"/>
              <w:divBdr>
                <w:top w:val="single" w:sz="6" w:space="6" w:color="666666"/>
                <w:left w:val="none" w:sz="0" w:space="0" w:color="auto"/>
                <w:bottom w:val="none" w:sz="0" w:space="0" w:color="auto"/>
                <w:right w:val="none" w:sz="0" w:space="0" w:color="auto"/>
              </w:divBdr>
            </w:div>
          </w:divsChild>
        </w:div>
      </w:divsChild>
    </w:div>
    <w:div w:id="2107579503">
      <w:marLeft w:val="0"/>
      <w:marRight w:val="0"/>
      <w:marTop w:val="0"/>
      <w:marBottom w:val="0"/>
      <w:divBdr>
        <w:top w:val="none" w:sz="0" w:space="0" w:color="auto"/>
        <w:left w:val="none" w:sz="0" w:space="0" w:color="auto"/>
        <w:bottom w:val="none" w:sz="0" w:space="0" w:color="auto"/>
        <w:right w:val="none" w:sz="0" w:space="0" w:color="auto"/>
      </w:divBdr>
    </w:div>
    <w:div w:id="2107579505">
      <w:marLeft w:val="0"/>
      <w:marRight w:val="0"/>
      <w:marTop w:val="0"/>
      <w:marBottom w:val="0"/>
      <w:divBdr>
        <w:top w:val="none" w:sz="0" w:space="0" w:color="auto"/>
        <w:left w:val="none" w:sz="0" w:space="0" w:color="auto"/>
        <w:bottom w:val="none" w:sz="0" w:space="0" w:color="auto"/>
        <w:right w:val="none" w:sz="0" w:space="0" w:color="auto"/>
      </w:divBdr>
    </w:div>
    <w:div w:id="2107579506">
      <w:marLeft w:val="0"/>
      <w:marRight w:val="0"/>
      <w:marTop w:val="0"/>
      <w:marBottom w:val="0"/>
      <w:divBdr>
        <w:top w:val="none" w:sz="0" w:space="0" w:color="auto"/>
        <w:left w:val="none" w:sz="0" w:space="0" w:color="auto"/>
        <w:bottom w:val="none" w:sz="0" w:space="0" w:color="auto"/>
        <w:right w:val="none" w:sz="0" w:space="0" w:color="auto"/>
      </w:divBdr>
    </w:div>
    <w:div w:id="2107579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8E1514F-195B-4F51-9BF6-6AF10EE9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3555</Characters>
  <Application>Microsoft Office Word</Application>
  <DocSecurity>4</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Gospodarska Zbornica Slovenije</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Anica Skubic</cp:lastModifiedBy>
  <cp:revision>2</cp:revision>
  <cp:lastPrinted>2016-02-04T14:34:00Z</cp:lastPrinted>
  <dcterms:created xsi:type="dcterms:W3CDTF">2016-06-24T10:36:00Z</dcterms:created>
  <dcterms:modified xsi:type="dcterms:W3CDTF">2016-06-24T10:36:00Z</dcterms:modified>
</cp:coreProperties>
</file>